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9E" w:rsidRDefault="009E2AB7" w:rsidP="009E2AB7">
      <w:pPr>
        <w:jc w:val="center"/>
      </w:pPr>
      <w:r>
        <w:t>SMOKE-FREE TEXAS</w:t>
      </w:r>
    </w:p>
    <w:p w:rsidR="009E2AB7" w:rsidRDefault="009E2AB7" w:rsidP="009E2AB7">
      <w:pPr>
        <w:jc w:val="center"/>
      </w:pPr>
      <w:r>
        <w:t>HEALTH AND ECONOMIC IMPACT</w:t>
      </w:r>
    </w:p>
    <w:p w:rsidR="009E2AB7" w:rsidRPr="009E2AB7" w:rsidRDefault="009E2AB7" w:rsidP="009E2AB7">
      <w:pPr>
        <w:jc w:val="center"/>
      </w:pPr>
      <w:r>
        <w:t xml:space="preserve">SAMPLE LETTER: SENATE BILL </w:t>
      </w:r>
      <w:r w:rsidR="006B13C4">
        <w:t>670</w:t>
      </w:r>
      <w:r>
        <w:t xml:space="preserve"> AND HOUSE BILL </w:t>
      </w:r>
      <w:r w:rsidR="006B13C4">
        <w:t>355</w:t>
      </w:r>
    </w:p>
    <w:p w:rsidR="00F159E9" w:rsidRDefault="00DC6538">
      <w:r>
        <w:t xml:space="preserve">Dear </w:t>
      </w:r>
      <w:r w:rsidR="00C549E4">
        <w:t>Senator/</w:t>
      </w:r>
      <w:r>
        <w:t>Representative:</w:t>
      </w:r>
    </w:p>
    <w:p w:rsidR="00D9030F" w:rsidRPr="00F37690" w:rsidRDefault="00DC6538" w:rsidP="00F37690">
      <w:pPr>
        <w:spacing w:after="0" w:line="240" w:lineRule="auto"/>
      </w:pPr>
      <w:r>
        <w:t xml:space="preserve">Please </w:t>
      </w:r>
      <w:r w:rsidR="00F37690">
        <w:t>support a Sm</w:t>
      </w:r>
      <w:r w:rsidR="00C549E4">
        <w:t>oke-Free Texas as purpose</w:t>
      </w:r>
      <w:r w:rsidR="00BE4274">
        <w:t>d</w:t>
      </w:r>
      <w:r w:rsidR="00C549E4">
        <w:t xml:space="preserve"> by SB</w:t>
      </w:r>
      <w:r w:rsidR="006B13C4">
        <w:t>670</w:t>
      </w:r>
      <w:r w:rsidR="00C549E4">
        <w:t xml:space="preserve"> (HB</w:t>
      </w:r>
      <w:r w:rsidR="006B13C4">
        <w:t>355</w:t>
      </w:r>
      <w:r w:rsidR="00C549E4">
        <w:t>)</w:t>
      </w:r>
      <w:r w:rsidR="00F37690">
        <w:t xml:space="preserve">.  </w:t>
      </w:r>
      <w:r>
        <w:t>As you well know, the cost for health care has a major impact on the Texas Budget.   I know you are facing major challenges in address</w:t>
      </w:r>
      <w:r w:rsidR="00F37690">
        <w:t xml:space="preserve">ing </w:t>
      </w:r>
      <w:r>
        <w:t>the States’ budget deficit while minimizing</w:t>
      </w:r>
      <w:r w:rsidR="00F37690">
        <w:t xml:space="preserve"> cuts to education, and critical </w:t>
      </w:r>
      <w:r>
        <w:t>socia</w:t>
      </w:r>
      <w:r w:rsidR="00F37690">
        <w:t>l and health safety net services</w:t>
      </w:r>
      <w:r>
        <w:t>.</w:t>
      </w:r>
      <w:r w:rsidR="00F37690">
        <w:t xml:space="preserve"> </w:t>
      </w:r>
      <w:r>
        <w:t xml:space="preserve"> </w:t>
      </w:r>
      <w:r w:rsidR="00F37690">
        <w:t>A statewide Smoke-F</w:t>
      </w:r>
      <w:r w:rsidR="007E5968" w:rsidRPr="00F37690">
        <w:t xml:space="preserve">ree law would save the Texas economy </w:t>
      </w:r>
      <w:r w:rsidR="007E5968" w:rsidRPr="00F37690">
        <w:rPr>
          <w:bCs/>
        </w:rPr>
        <w:t>$</w:t>
      </w:r>
      <w:r w:rsidR="00BE4274">
        <w:rPr>
          <w:bCs/>
        </w:rPr>
        <w:t>218</w:t>
      </w:r>
      <w:r w:rsidR="007E5968" w:rsidRPr="00F37690">
        <w:rPr>
          <w:bCs/>
        </w:rPr>
        <w:t xml:space="preserve"> Million Annually</w:t>
      </w:r>
      <w:r w:rsidR="007E5968" w:rsidRPr="00F37690">
        <w:t>, including:</w:t>
      </w:r>
    </w:p>
    <w:p w:rsidR="00F37690" w:rsidRDefault="007E5968" w:rsidP="00F37690">
      <w:pPr>
        <w:pStyle w:val="ListParagraph"/>
        <w:numPr>
          <w:ilvl w:val="0"/>
          <w:numId w:val="2"/>
        </w:numPr>
        <w:spacing w:after="0" w:line="240" w:lineRule="auto"/>
      </w:pPr>
      <w:r w:rsidRPr="00F37690">
        <w:t xml:space="preserve">More than $54 million in reduced health care costs to nonsmokers that would </w:t>
      </w:r>
      <w:r w:rsidR="00BE4274">
        <w:t xml:space="preserve">no longer </w:t>
      </w:r>
      <w:r w:rsidRPr="00F37690">
        <w:t>be exposed to secondhand smoke.</w:t>
      </w:r>
    </w:p>
    <w:p w:rsidR="00F37690" w:rsidRDefault="007E5968" w:rsidP="00F37690">
      <w:pPr>
        <w:pStyle w:val="ListParagraph"/>
        <w:numPr>
          <w:ilvl w:val="0"/>
          <w:numId w:val="2"/>
        </w:numPr>
        <w:spacing w:after="0" w:line="240" w:lineRule="auto"/>
      </w:pPr>
      <w:r w:rsidRPr="00F37690">
        <w:t>More than $71 million in reduced health care costs for smokers who quit as a result of the law.</w:t>
      </w:r>
    </w:p>
    <w:p w:rsidR="00F37690" w:rsidRDefault="007E5968" w:rsidP="00F37690">
      <w:pPr>
        <w:pStyle w:val="ListParagraph"/>
        <w:numPr>
          <w:ilvl w:val="0"/>
          <w:numId w:val="2"/>
        </w:numPr>
        <w:spacing w:after="0" w:line="240" w:lineRule="auto"/>
      </w:pPr>
      <w:r w:rsidRPr="00F37690">
        <w:t xml:space="preserve">More than $77 million in productivity cost savings for the state’s economy. </w:t>
      </w:r>
    </w:p>
    <w:p w:rsidR="00D9030F" w:rsidRDefault="007E5968" w:rsidP="00F37690">
      <w:pPr>
        <w:pStyle w:val="ListParagraph"/>
        <w:numPr>
          <w:ilvl w:val="0"/>
          <w:numId w:val="2"/>
        </w:numPr>
        <w:spacing w:after="0" w:line="240" w:lineRule="auto"/>
      </w:pPr>
      <w:r w:rsidRPr="00F37690">
        <w:t xml:space="preserve">More than $16 million in medical costs would be averted from low birth weight births in areas of Texas with only partial or no smoke-free workplace legislation. </w:t>
      </w:r>
    </w:p>
    <w:p w:rsidR="00F37690" w:rsidRPr="00F37690" w:rsidRDefault="00F37690" w:rsidP="00F37690">
      <w:pPr>
        <w:spacing w:after="0" w:line="240" w:lineRule="auto"/>
      </w:pPr>
    </w:p>
    <w:p w:rsidR="00C549E4" w:rsidRPr="00C549E4" w:rsidRDefault="00BE4274" w:rsidP="00C549E4">
      <w:pPr>
        <w:tabs>
          <w:tab w:val="num" w:pos="720"/>
          <w:tab w:val="num" w:pos="1440"/>
        </w:tabs>
        <w:spacing w:after="120"/>
      </w:pPr>
      <w:r>
        <w:t xml:space="preserve">Most </w:t>
      </w:r>
      <w:r w:rsidR="00C549E4">
        <w:t>Texans favor making all workplaces, restaurants and bars</w:t>
      </w:r>
      <w:r>
        <w:t xml:space="preserve"> in the state</w:t>
      </w:r>
      <w:r w:rsidR="00C549E4">
        <w:t xml:space="preserve"> smoke-free, </w:t>
      </w:r>
      <w:r w:rsidR="00C549E4" w:rsidRPr="00C549E4">
        <w:t>90% agree that all workers should be protected from exposure to secondhand smoke in the workplace.</w:t>
      </w:r>
      <w:r w:rsidR="00C549E4">
        <w:t xml:space="preserve">  Among African Americans and Latinos, </w:t>
      </w:r>
      <w:r w:rsidR="007E5968" w:rsidRPr="00C549E4">
        <w:t xml:space="preserve">61% </w:t>
      </w:r>
      <w:r w:rsidR="00C549E4">
        <w:t xml:space="preserve">and </w:t>
      </w:r>
      <w:r w:rsidR="007E5968" w:rsidRPr="00C549E4">
        <w:t xml:space="preserve">71% </w:t>
      </w:r>
      <w:r w:rsidR="00C549E4">
        <w:t>respectively agree with smoke-free work site protection.</w:t>
      </w:r>
      <w:r w:rsidR="00C549E4" w:rsidRPr="00C549E4">
        <w:t xml:space="preserve"> </w:t>
      </w:r>
      <w:r w:rsidR="00C549E4">
        <w:t xml:space="preserve">Yet in 2009, only 37% </w:t>
      </w:r>
      <w:r>
        <w:t xml:space="preserve">of </w:t>
      </w:r>
      <w:r w:rsidR="00C549E4">
        <w:t xml:space="preserve">Texas municipal populations were covered by comprehensive smoke-free policies.  </w:t>
      </w:r>
    </w:p>
    <w:p w:rsidR="00C549E4" w:rsidRDefault="00C549E4" w:rsidP="00C549E4">
      <w:pPr>
        <w:autoSpaceDE w:val="0"/>
        <w:autoSpaceDN w:val="0"/>
        <w:adjustRightInd w:val="0"/>
      </w:pPr>
      <w:r>
        <w:t>Exposure to second-hand smoke is not a matter of personal choice as some would argue.  In fact, choice is more often limited or reduced when we have few options to work and enjoy leisure activities in facilities in which smoking is allowed.  Te</w:t>
      </w:r>
      <w:r w:rsidRPr="00166DA7">
        <w:t>xas</w:t>
      </w:r>
      <w:r>
        <w:t xml:space="preserve"> Latinos have</w:t>
      </w:r>
      <w:r w:rsidRPr="00166DA7">
        <w:t xml:space="preserve"> a disproportionate </w:t>
      </w:r>
      <w:r>
        <w:t xml:space="preserve">greater </w:t>
      </w:r>
      <w:r w:rsidRPr="00166DA7">
        <w:t>likelihood of being exposed to second</w:t>
      </w:r>
      <w:r>
        <w:t>-</w:t>
      </w:r>
      <w:r w:rsidRPr="00166DA7">
        <w:t>hand smoke in the workplace</w:t>
      </w:r>
      <w:r>
        <w:t xml:space="preserve">, </w:t>
      </w:r>
      <w:r w:rsidRPr="00166DA7">
        <w:t xml:space="preserve">and the lack of smoke-free regulations </w:t>
      </w:r>
      <w:r>
        <w:t xml:space="preserve">also </w:t>
      </w:r>
      <w:r w:rsidRPr="00166DA7">
        <w:t xml:space="preserve">makes </w:t>
      </w:r>
      <w:r>
        <w:t>it</w:t>
      </w:r>
      <w:r w:rsidRPr="00166DA7">
        <w:t xml:space="preserve"> a worker’s right and safety issue. </w:t>
      </w:r>
      <w:r>
        <w:t xml:space="preserve">Illnesses and absenteeism caused by tobacco use and exposure can be reduced by smoke-free policies.   We know that: </w:t>
      </w:r>
    </w:p>
    <w:p w:rsidR="00C549E4" w:rsidRPr="004C735C" w:rsidRDefault="00C549E4" w:rsidP="00C549E4">
      <w:pPr>
        <w:numPr>
          <w:ilvl w:val="0"/>
          <w:numId w:val="3"/>
        </w:numPr>
        <w:spacing w:after="120" w:line="240" w:lineRule="auto"/>
      </w:pPr>
      <w:r>
        <w:t xml:space="preserve">Tobacco Clean-Air </w:t>
      </w:r>
      <w:r w:rsidRPr="004C735C">
        <w:t>policies do not affect restaurant revenue or the sale of alcoholic beverages in bars, according to analysis of sales tax data in Texas and other states.</w:t>
      </w:r>
    </w:p>
    <w:p w:rsidR="00C549E4" w:rsidRPr="004C735C" w:rsidRDefault="00C549E4" w:rsidP="00C549E4">
      <w:pPr>
        <w:numPr>
          <w:ilvl w:val="0"/>
          <w:numId w:val="3"/>
        </w:numPr>
        <w:spacing w:after="120" w:line="240" w:lineRule="auto"/>
      </w:pPr>
      <w:r w:rsidRPr="004C735C">
        <w:t>There is no risk-free level of exposure to secondhand smoke, according to the U.S. Surgeon General.</w:t>
      </w:r>
    </w:p>
    <w:p w:rsidR="00C549E4" w:rsidRPr="004C735C" w:rsidRDefault="00C549E4" w:rsidP="00C549E4">
      <w:pPr>
        <w:numPr>
          <w:ilvl w:val="0"/>
          <w:numId w:val="3"/>
        </w:numPr>
        <w:spacing w:after="120" w:line="240" w:lineRule="auto"/>
      </w:pPr>
      <w:r w:rsidRPr="004C735C">
        <w:t>Smoke-free workplace laws immediately and notably improved heart health (including fewer heart attack hospitalizations), particularly in nonsmokers, according to studies in numerous states and countries.</w:t>
      </w:r>
    </w:p>
    <w:p w:rsidR="00C549E4" w:rsidRPr="004C735C" w:rsidRDefault="00C549E4" w:rsidP="00C549E4">
      <w:pPr>
        <w:numPr>
          <w:ilvl w:val="0"/>
          <w:numId w:val="3"/>
        </w:numPr>
        <w:spacing w:after="120" w:line="240" w:lineRule="auto"/>
      </w:pPr>
      <w:r w:rsidRPr="004C735C">
        <w:t>3</w:t>
      </w:r>
      <w:r>
        <w:t>1</w:t>
      </w:r>
      <w:r w:rsidRPr="004C735C">
        <w:t xml:space="preserve"> cities in Texas already have comprehensive smoke-free ordinances</w:t>
      </w:r>
      <w:r>
        <w:t>.</w:t>
      </w:r>
    </w:p>
    <w:p w:rsidR="00C549E4" w:rsidRDefault="00C549E4" w:rsidP="00C549E4">
      <w:pPr>
        <w:spacing w:after="120"/>
      </w:pPr>
      <w:r>
        <w:t xml:space="preserve">Most Texans know that smoking and second-hand smoke are a major cause of premature deaths, chronic health problems, and high health care costs.  </w:t>
      </w:r>
      <w:r w:rsidRPr="00FA6005">
        <w:t xml:space="preserve">According to the </w:t>
      </w:r>
      <w:r>
        <w:t xml:space="preserve">U.S. Surgeon General, each year </w:t>
      </w:r>
      <w:r w:rsidRPr="00FA6005">
        <w:t>53,000 non-smokers die from second</w:t>
      </w:r>
      <w:r>
        <w:t>-</w:t>
      </w:r>
      <w:r w:rsidRPr="00FA6005">
        <w:t>hand smoke. In Texas, an estimated 24,000 people die from smoking attributable illness</w:t>
      </w:r>
      <w:r>
        <w:t>es</w:t>
      </w:r>
      <w:r w:rsidRPr="00FA6005">
        <w:t>.</w:t>
      </w:r>
      <w:r>
        <w:t xml:space="preserve">  </w:t>
      </w:r>
    </w:p>
    <w:p w:rsidR="008413C6" w:rsidRDefault="00C549E4">
      <w:r>
        <w:t>Let’s not add more chronic health problems and high health care costs</w:t>
      </w:r>
      <w:r w:rsidR="0014519E">
        <w:t xml:space="preserve"> to our State Budget problems</w:t>
      </w:r>
      <w:r>
        <w:t xml:space="preserve">.  </w:t>
      </w:r>
    </w:p>
    <w:p w:rsidR="00DC6538" w:rsidRDefault="00C549E4">
      <w:r>
        <w:t>Let’s make Texas a Tobacco Clean Air state.</w:t>
      </w:r>
    </w:p>
    <w:p w:rsidR="0014519E" w:rsidRDefault="00C549E4" w:rsidP="009E2AB7">
      <w:r>
        <w:t>Thank you for your service and support of SB</w:t>
      </w:r>
      <w:r w:rsidR="006B13C4">
        <w:t>670</w:t>
      </w:r>
      <w:r>
        <w:t xml:space="preserve"> (HB</w:t>
      </w:r>
      <w:r w:rsidR="006B13C4">
        <w:t>355</w:t>
      </w:r>
      <w:r>
        <w:t>).</w:t>
      </w:r>
      <w:bookmarkStart w:id="0" w:name="_GoBack"/>
      <w:bookmarkEnd w:id="0"/>
    </w:p>
    <w:sectPr w:rsidR="0014519E" w:rsidSect="009E2AB7">
      <w:pgSz w:w="12240" w:h="15840"/>
      <w:pgMar w:top="1008" w:right="1296"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C4152"/>
    <w:multiLevelType w:val="hybridMultilevel"/>
    <w:tmpl w:val="50B8FF60"/>
    <w:lvl w:ilvl="0" w:tplc="8F181410">
      <w:start w:val="1"/>
      <w:numFmt w:val="bullet"/>
      <w:lvlText w:val="•"/>
      <w:lvlJc w:val="left"/>
      <w:pPr>
        <w:tabs>
          <w:tab w:val="num" w:pos="720"/>
        </w:tabs>
        <w:ind w:left="720" w:hanging="360"/>
      </w:pPr>
      <w:rPr>
        <w:rFonts w:ascii="Arial" w:hAnsi="Arial" w:hint="default"/>
      </w:rPr>
    </w:lvl>
    <w:lvl w:ilvl="1" w:tplc="2E7C9798">
      <w:start w:val="1169"/>
      <w:numFmt w:val="bullet"/>
      <w:lvlText w:val="–"/>
      <w:lvlJc w:val="left"/>
      <w:pPr>
        <w:tabs>
          <w:tab w:val="num" w:pos="1440"/>
        </w:tabs>
        <w:ind w:left="1440" w:hanging="360"/>
      </w:pPr>
      <w:rPr>
        <w:rFonts w:ascii="Arial" w:hAnsi="Arial" w:hint="default"/>
      </w:rPr>
    </w:lvl>
    <w:lvl w:ilvl="2" w:tplc="43907AD8">
      <w:start w:val="1"/>
      <w:numFmt w:val="bullet"/>
      <w:lvlText w:val="•"/>
      <w:lvlJc w:val="left"/>
      <w:pPr>
        <w:tabs>
          <w:tab w:val="num" w:pos="2160"/>
        </w:tabs>
        <w:ind w:left="2160" w:hanging="360"/>
      </w:pPr>
      <w:rPr>
        <w:rFonts w:ascii="Arial" w:hAnsi="Arial" w:hint="default"/>
      </w:rPr>
    </w:lvl>
    <w:lvl w:ilvl="3" w:tplc="45924F10" w:tentative="1">
      <w:start w:val="1"/>
      <w:numFmt w:val="bullet"/>
      <w:lvlText w:val="•"/>
      <w:lvlJc w:val="left"/>
      <w:pPr>
        <w:tabs>
          <w:tab w:val="num" w:pos="2880"/>
        </w:tabs>
        <w:ind w:left="2880" w:hanging="360"/>
      </w:pPr>
      <w:rPr>
        <w:rFonts w:ascii="Arial" w:hAnsi="Arial" w:hint="default"/>
      </w:rPr>
    </w:lvl>
    <w:lvl w:ilvl="4" w:tplc="89282B08" w:tentative="1">
      <w:start w:val="1"/>
      <w:numFmt w:val="bullet"/>
      <w:lvlText w:val="•"/>
      <w:lvlJc w:val="left"/>
      <w:pPr>
        <w:tabs>
          <w:tab w:val="num" w:pos="3600"/>
        </w:tabs>
        <w:ind w:left="3600" w:hanging="360"/>
      </w:pPr>
      <w:rPr>
        <w:rFonts w:ascii="Arial" w:hAnsi="Arial" w:hint="default"/>
      </w:rPr>
    </w:lvl>
    <w:lvl w:ilvl="5" w:tplc="5AF87440" w:tentative="1">
      <w:start w:val="1"/>
      <w:numFmt w:val="bullet"/>
      <w:lvlText w:val="•"/>
      <w:lvlJc w:val="left"/>
      <w:pPr>
        <w:tabs>
          <w:tab w:val="num" w:pos="4320"/>
        </w:tabs>
        <w:ind w:left="4320" w:hanging="360"/>
      </w:pPr>
      <w:rPr>
        <w:rFonts w:ascii="Arial" w:hAnsi="Arial" w:hint="default"/>
      </w:rPr>
    </w:lvl>
    <w:lvl w:ilvl="6" w:tplc="261E9300" w:tentative="1">
      <w:start w:val="1"/>
      <w:numFmt w:val="bullet"/>
      <w:lvlText w:val="•"/>
      <w:lvlJc w:val="left"/>
      <w:pPr>
        <w:tabs>
          <w:tab w:val="num" w:pos="5040"/>
        </w:tabs>
        <w:ind w:left="5040" w:hanging="360"/>
      </w:pPr>
      <w:rPr>
        <w:rFonts w:ascii="Arial" w:hAnsi="Arial" w:hint="default"/>
      </w:rPr>
    </w:lvl>
    <w:lvl w:ilvl="7" w:tplc="FD6A5698" w:tentative="1">
      <w:start w:val="1"/>
      <w:numFmt w:val="bullet"/>
      <w:lvlText w:val="•"/>
      <w:lvlJc w:val="left"/>
      <w:pPr>
        <w:tabs>
          <w:tab w:val="num" w:pos="5760"/>
        </w:tabs>
        <w:ind w:left="5760" w:hanging="360"/>
      </w:pPr>
      <w:rPr>
        <w:rFonts w:ascii="Arial" w:hAnsi="Arial" w:hint="default"/>
      </w:rPr>
    </w:lvl>
    <w:lvl w:ilvl="8" w:tplc="754C7560" w:tentative="1">
      <w:start w:val="1"/>
      <w:numFmt w:val="bullet"/>
      <w:lvlText w:val="•"/>
      <w:lvlJc w:val="left"/>
      <w:pPr>
        <w:tabs>
          <w:tab w:val="num" w:pos="6480"/>
        </w:tabs>
        <w:ind w:left="6480" w:hanging="360"/>
      </w:pPr>
      <w:rPr>
        <w:rFonts w:ascii="Arial" w:hAnsi="Arial" w:hint="default"/>
      </w:rPr>
    </w:lvl>
  </w:abstractNum>
  <w:abstractNum w:abstractNumId="1">
    <w:nsid w:val="37C947D2"/>
    <w:multiLevelType w:val="hybridMultilevel"/>
    <w:tmpl w:val="3454C53C"/>
    <w:lvl w:ilvl="0" w:tplc="00CCDA86">
      <w:start w:val="1"/>
      <w:numFmt w:val="bullet"/>
      <w:lvlText w:val="•"/>
      <w:lvlJc w:val="left"/>
      <w:pPr>
        <w:tabs>
          <w:tab w:val="num" w:pos="360"/>
        </w:tabs>
        <w:ind w:left="360" w:hanging="360"/>
      </w:pPr>
      <w:rPr>
        <w:rFonts w:ascii="Arial" w:hAnsi="Arial" w:hint="default"/>
      </w:rPr>
    </w:lvl>
    <w:lvl w:ilvl="1" w:tplc="C9181048">
      <w:start w:val="531"/>
      <w:numFmt w:val="bullet"/>
      <w:lvlText w:val="–"/>
      <w:lvlJc w:val="left"/>
      <w:pPr>
        <w:tabs>
          <w:tab w:val="num" w:pos="1080"/>
        </w:tabs>
        <w:ind w:left="1080" w:hanging="360"/>
      </w:pPr>
      <w:rPr>
        <w:rFonts w:ascii="Arial" w:hAnsi="Arial" w:hint="default"/>
      </w:rPr>
    </w:lvl>
    <w:lvl w:ilvl="2" w:tplc="F9723068" w:tentative="1">
      <w:start w:val="1"/>
      <w:numFmt w:val="bullet"/>
      <w:lvlText w:val="•"/>
      <w:lvlJc w:val="left"/>
      <w:pPr>
        <w:tabs>
          <w:tab w:val="num" w:pos="1800"/>
        </w:tabs>
        <w:ind w:left="1800" w:hanging="360"/>
      </w:pPr>
      <w:rPr>
        <w:rFonts w:ascii="Arial" w:hAnsi="Arial" w:hint="default"/>
      </w:rPr>
    </w:lvl>
    <w:lvl w:ilvl="3" w:tplc="640A56D2" w:tentative="1">
      <w:start w:val="1"/>
      <w:numFmt w:val="bullet"/>
      <w:lvlText w:val="•"/>
      <w:lvlJc w:val="left"/>
      <w:pPr>
        <w:tabs>
          <w:tab w:val="num" w:pos="2520"/>
        </w:tabs>
        <w:ind w:left="2520" w:hanging="360"/>
      </w:pPr>
      <w:rPr>
        <w:rFonts w:ascii="Arial" w:hAnsi="Arial" w:hint="default"/>
      </w:rPr>
    </w:lvl>
    <w:lvl w:ilvl="4" w:tplc="26E81712" w:tentative="1">
      <w:start w:val="1"/>
      <w:numFmt w:val="bullet"/>
      <w:lvlText w:val="•"/>
      <w:lvlJc w:val="left"/>
      <w:pPr>
        <w:tabs>
          <w:tab w:val="num" w:pos="3240"/>
        </w:tabs>
        <w:ind w:left="3240" w:hanging="360"/>
      </w:pPr>
      <w:rPr>
        <w:rFonts w:ascii="Arial" w:hAnsi="Arial" w:hint="default"/>
      </w:rPr>
    </w:lvl>
    <w:lvl w:ilvl="5" w:tplc="61649CFA" w:tentative="1">
      <w:start w:val="1"/>
      <w:numFmt w:val="bullet"/>
      <w:lvlText w:val="•"/>
      <w:lvlJc w:val="left"/>
      <w:pPr>
        <w:tabs>
          <w:tab w:val="num" w:pos="3960"/>
        </w:tabs>
        <w:ind w:left="3960" w:hanging="360"/>
      </w:pPr>
      <w:rPr>
        <w:rFonts w:ascii="Arial" w:hAnsi="Arial" w:hint="default"/>
      </w:rPr>
    </w:lvl>
    <w:lvl w:ilvl="6" w:tplc="A57C0602" w:tentative="1">
      <w:start w:val="1"/>
      <w:numFmt w:val="bullet"/>
      <w:lvlText w:val="•"/>
      <w:lvlJc w:val="left"/>
      <w:pPr>
        <w:tabs>
          <w:tab w:val="num" w:pos="4680"/>
        </w:tabs>
        <w:ind w:left="4680" w:hanging="360"/>
      </w:pPr>
      <w:rPr>
        <w:rFonts w:ascii="Arial" w:hAnsi="Arial" w:hint="default"/>
      </w:rPr>
    </w:lvl>
    <w:lvl w:ilvl="7" w:tplc="F97CC9BE" w:tentative="1">
      <w:start w:val="1"/>
      <w:numFmt w:val="bullet"/>
      <w:lvlText w:val="•"/>
      <w:lvlJc w:val="left"/>
      <w:pPr>
        <w:tabs>
          <w:tab w:val="num" w:pos="5400"/>
        </w:tabs>
        <w:ind w:left="5400" w:hanging="360"/>
      </w:pPr>
      <w:rPr>
        <w:rFonts w:ascii="Arial" w:hAnsi="Arial" w:hint="default"/>
      </w:rPr>
    </w:lvl>
    <w:lvl w:ilvl="8" w:tplc="14E02BDA" w:tentative="1">
      <w:start w:val="1"/>
      <w:numFmt w:val="bullet"/>
      <w:lvlText w:val="•"/>
      <w:lvlJc w:val="left"/>
      <w:pPr>
        <w:tabs>
          <w:tab w:val="num" w:pos="6120"/>
        </w:tabs>
        <w:ind w:left="6120" w:hanging="360"/>
      </w:pPr>
      <w:rPr>
        <w:rFonts w:ascii="Arial" w:hAnsi="Arial" w:hint="default"/>
      </w:rPr>
    </w:lvl>
  </w:abstractNum>
  <w:abstractNum w:abstractNumId="2">
    <w:nsid w:val="46D34E58"/>
    <w:multiLevelType w:val="hybridMultilevel"/>
    <w:tmpl w:val="A1FEFF7C"/>
    <w:lvl w:ilvl="0" w:tplc="87AA2050">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nsid w:val="559F7237"/>
    <w:multiLevelType w:val="hybridMultilevel"/>
    <w:tmpl w:val="096CA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DC6538"/>
    <w:rsid w:val="0000543A"/>
    <w:rsid w:val="0014519E"/>
    <w:rsid w:val="006B13C4"/>
    <w:rsid w:val="0078443C"/>
    <w:rsid w:val="007E5968"/>
    <w:rsid w:val="008413C6"/>
    <w:rsid w:val="00977E4F"/>
    <w:rsid w:val="009E2AB7"/>
    <w:rsid w:val="00BE4274"/>
    <w:rsid w:val="00C549E4"/>
    <w:rsid w:val="00C807F5"/>
    <w:rsid w:val="00D9030F"/>
    <w:rsid w:val="00DC6538"/>
    <w:rsid w:val="00DF6A01"/>
    <w:rsid w:val="00F159E9"/>
    <w:rsid w:val="00F37690"/>
    <w:rsid w:val="00F8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7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690"/>
    <w:pPr>
      <w:ind w:left="720"/>
      <w:contextualSpacing/>
    </w:pPr>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690"/>
    <w:pPr>
      <w:ind w:left="720"/>
      <w:contextualSpacing/>
    </w:pPr>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757540">
      <w:bodyDiv w:val="1"/>
      <w:marLeft w:val="0"/>
      <w:marRight w:val="0"/>
      <w:marTop w:val="0"/>
      <w:marBottom w:val="0"/>
      <w:divBdr>
        <w:top w:val="none" w:sz="0" w:space="0" w:color="auto"/>
        <w:left w:val="none" w:sz="0" w:space="0" w:color="auto"/>
        <w:bottom w:val="none" w:sz="0" w:space="0" w:color="auto"/>
        <w:right w:val="none" w:sz="0" w:space="0" w:color="auto"/>
      </w:divBdr>
      <w:divsChild>
        <w:div w:id="180554184">
          <w:marLeft w:val="1800"/>
          <w:marRight w:val="0"/>
          <w:marTop w:val="96"/>
          <w:marBottom w:val="0"/>
          <w:divBdr>
            <w:top w:val="none" w:sz="0" w:space="0" w:color="auto"/>
            <w:left w:val="none" w:sz="0" w:space="0" w:color="auto"/>
            <w:bottom w:val="none" w:sz="0" w:space="0" w:color="auto"/>
            <w:right w:val="none" w:sz="0" w:space="0" w:color="auto"/>
          </w:divBdr>
        </w:div>
        <w:div w:id="2097096643">
          <w:marLeft w:val="1800"/>
          <w:marRight w:val="0"/>
          <w:marTop w:val="96"/>
          <w:marBottom w:val="0"/>
          <w:divBdr>
            <w:top w:val="none" w:sz="0" w:space="0" w:color="auto"/>
            <w:left w:val="none" w:sz="0" w:space="0" w:color="auto"/>
            <w:bottom w:val="none" w:sz="0" w:space="0" w:color="auto"/>
            <w:right w:val="none" w:sz="0" w:space="0" w:color="auto"/>
          </w:divBdr>
        </w:div>
        <w:div w:id="1277449661">
          <w:marLeft w:val="547"/>
          <w:marRight w:val="0"/>
          <w:marTop w:val="134"/>
          <w:marBottom w:val="0"/>
          <w:divBdr>
            <w:top w:val="none" w:sz="0" w:space="0" w:color="auto"/>
            <w:left w:val="none" w:sz="0" w:space="0" w:color="auto"/>
            <w:bottom w:val="none" w:sz="0" w:space="0" w:color="auto"/>
            <w:right w:val="none" w:sz="0" w:space="0" w:color="auto"/>
          </w:divBdr>
        </w:div>
        <w:div w:id="263005049">
          <w:marLeft w:val="1166"/>
          <w:marRight w:val="0"/>
          <w:marTop w:val="115"/>
          <w:marBottom w:val="0"/>
          <w:divBdr>
            <w:top w:val="none" w:sz="0" w:space="0" w:color="auto"/>
            <w:left w:val="none" w:sz="0" w:space="0" w:color="auto"/>
            <w:bottom w:val="none" w:sz="0" w:space="0" w:color="auto"/>
            <w:right w:val="none" w:sz="0" w:space="0" w:color="auto"/>
          </w:divBdr>
        </w:div>
        <w:div w:id="1722051743">
          <w:marLeft w:val="1166"/>
          <w:marRight w:val="0"/>
          <w:marTop w:val="115"/>
          <w:marBottom w:val="0"/>
          <w:divBdr>
            <w:top w:val="none" w:sz="0" w:space="0" w:color="auto"/>
            <w:left w:val="none" w:sz="0" w:space="0" w:color="auto"/>
            <w:bottom w:val="none" w:sz="0" w:space="0" w:color="auto"/>
            <w:right w:val="none" w:sz="0" w:space="0" w:color="auto"/>
          </w:divBdr>
        </w:div>
      </w:divsChild>
    </w:div>
    <w:div w:id="1973903298">
      <w:bodyDiv w:val="1"/>
      <w:marLeft w:val="0"/>
      <w:marRight w:val="0"/>
      <w:marTop w:val="0"/>
      <w:marBottom w:val="0"/>
      <w:divBdr>
        <w:top w:val="none" w:sz="0" w:space="0" w:color="auto"/>
        <w:left w:val="none" w:sz="0" w:space="0" w:color="auto"/>
        <w:bottom w:val="none" w:sz="0" w:space="0" w:color="auto"/>
        <w:right w:val="none" w:sz="0" w:space="0" w:color="auto"/>
      </w:divBdr>
      <w:divsChild>
        <w:div w:id="416487506">
          <w:marLeft w:val="547"/>
          <w:marRight w:val="0"/>
          <w:marTop w:val="125"/>
          <w:marBottom w:val="0"/>
          <w:divBdr>
            <w:top w:val="none" w:sz="0" w:space="0" w:color="auto"/>
            <w:left w:val="none" w:sz="0" w:space="0" w:color="auto"/>
            <w:bottom w:val="none" w:sz="0" w:space="0" w:color="auto"/>
            <w:right w:val="none" w:sz="0" w:space="0" w:color="auto"/>
          </w:divBdr>
        </w:div>
        <w:div w:id="1124036672">
          <w:marLeft w:val="1166"/>
          <w:marRight w:val="0"/>
          <w:marTop w:val="96"/>
          <w:marBottom w:val="0"/>
          <w:divBdr>
            <w:top w:val="none" w:sz="0" w:space="0" w:color="auto"/>
            <w:left w:val="none" w:sz="0" w:space="0" w:color="auto"/>
            <w:bottom w:val="none" w:sz="0" w:space="0" w:color="auto"/>
            <w:right w:val="none" w:sz="0" w:space="0" w:color="auto"/>
          </w:divBdr>
        </w:div>
        <w:div w:id="1417284905">
          <w:marLeft w:val="1166"/>
          <w:marRight w:val="0"/>
          <w:marTop w:val="96"/>
          <w:marBottom w:val="0"/>
          <w:divBdr>
            <w:top w:val="none" w:sz="0" w:space="0" w:color="auto"/>
            <w:left w:val="none" w:sz="0" w:space="0" w:color="auto"/>
            <w:bottom w:val="none" w:sz="0" w:space="0" w:color="auto"/>
            <w:right w:val="none" w:sz="0" w:space="0" w:color="auto"/>
          </w:divBdr>
        </w:div>
        <w:div w:id="2086610497">
          <w:marLeft w:val="1166"/>
          <w:marRight w:val="0"/>
          <w:marTop w:val="96"/>
          <w:marBottom w:val="0"/>
          <w:divBdr>
            <w:top w:val="none" w:sz="0" w:space="0" w:color="auto"/>
            <w:left w:val="none" w:sz="0" w:space="0" w:color="auto"/>
            <w:bottom w:val="none" w:sz="0" w:space="0" w:color="auto"/>
            <w:right w:val="none" w:sz="0" w:space="0" w:color="auto"/>
          </w:divBdr>
        </w:div>
        <w:div w:id="2010019161">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8CE7-A90D-47AF-91F0-4E18DCF6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 Administrator</dc:creator>
  <cp:lastModifiedBy>EBX</cp:lastModifiedBy>
  <cp:revision>5</cp:revision>
  <dcterms:created xsi:type="dcterms:W3CDTF">2011-04-26T15:24:00Z</dcterms:created>
  <dcterms:modified xsi:type="dcterms:W3CDTF">2011-04-27T15:39:00Z</dcterms:modified>
</cp:coreProperties>
</file>